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6085" w14:textId="77777777" w:rsidR="00E169E0" w:rsidRDefault="00E169E0" w:rsidP="00E16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sz w:val="24"/>
          <w:szCs w:val="24"/>
        </w:rPr>
      </w:pPr>
      <w:r>
        <w:rPr>
          <w:sz w:val="24"/>
          <w:szCs w:val="24"/>
        </w:rPr>
        <w:t>Voice of the Child Report Order</w:t>
      </w:r>
    </w:p>
    <w:p w14:paraId="7A0388C2" w14:textId="77777777" w:rsidR="00E169E0" w:rsidRDefault="00E169E0" w:rsidP="00E16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sz w:val="24"/>
          <w:szCs w:val="24"/>
        </w:rPr>
      </w:pPr>
    </w:p>
    <w:p w14:paraId="74A26E63" w14:textId="77777777" w:rsidR="00E169E0" w:rsidRPr="00B96D8C" w:rsidRDefault="00E169E0" w:rsidP="00E16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cs="Arial"/>
          <w:sz w:val="24"/>
          <w:szCs w:val="24"/>
          <w:lang w:val="en-GB"/>
        </w:rPr>
      </w:pPr>
      <w:r w:rsidRPr="00B96D8C">
        <w:rPr>
          <w:sz w:val="24"/>
          <w:szCs w:val="24"/>
        </w:rPr>
        <w:fldChar w:fldCharType="begin"/>
      </w:r>
      <w:r w:rsidRPr="00B96D8C">
        <w:rPr>
          <w:sz w:val="24"/>
          <w:szCs w:val="24"/>
        </w:rPr>
        <w:instrText xml:space="preserve"> SEQ CHAPTER \h \r 1</w:instrText>
      </w:r>
      <w:r w:rsidRPr="00B96D8C">
        <w:rPr>
          <w:sz w:val="24"/>
          <w:szCs w:val="24"/>
        </w:rPr>
        <w:fldChar w:fldCharType="end"/>
      </w:r>
      <w:r w:rsidRPr="00B96D8C">
        <w:rPr>
          <w:rFonts w:cs="Arial"/>
          <w:sz w:val="24"/>
          <w:szCs w:val="24"/>
          <w:lang w:val="en-GB"/>
        </w:rPr>
        <w:t>20</w:t>
      </w:r>
      <w:r>
        <w:rPr>
          <w:rFonts w:cs="Arial"/>
          <w:sz w:val="24"/>
          <w:szCs w:val="24"/>
          <w:lang w:val="en-GB"/>
        </w:rPr>
        <w:t>*</w:t>
      </w:r>
      <w:r w:rsidRPr="00B96D8C">
        <w:rPr>
          <w:rFonts w:cs="Arial"/>
          <w:sz w:val="24"/>
          <w:szCs w:val="24"/>
          <w:lang w:val="en-GB"/>
        </w:rPr>
        <w:t>*</w:t>
      </w:r>
      <w:r w:rsidRPr="00B96D8C">
        <w:rPr>
          <w:rFonts w:cs="Arial"/>
          <w:sz w:val="24"/>
          <w:szCs w:val="24"/>
          <w:lang w:val="en-GB"/>
        </w:rPr>
        <w:tab/>
      </w:r>
      <w:r w:rsidRPr="00B96D8C">
        <w:rPr>
          <w:rFonts w:cs="Arial"/>
          <w:sz w:val="24"/>
          <w:szCs w:val="24"/>
          <w:lang w:val="en-GB"/>
        </w:rPr>
        <w:tab/>
      </w:r>
      <w:r w:rsidRPr="00B96D8C">
        <w:rPr>
          <w:rFonts w:cs="Arial"/>
          <w:sz w:val="24"/>
          <w:szCs w:val="24"/>
          <w:lang w:val="en-GB"/>
        </w:rPr>
        <w:tab/>
      </w:r>
      <w:r w:rsidRPr="00B96D8C">
        <w:rPr>
          <w:rFonts w:cs="Arial"/>
          <w:sz w:val="24"/>
          <w:szCs w:val="24"/>
          <w:lang w:val="en-GB"/>
        </w:rPr>
        <w:tab/>
      </w:r>
      <w:r w:rsidRPr="00B96D8C">
        <w:rPr>
          <w:rFonts w:cs="Arial"/>
          <w:sz w:val="24"/>
          <w:szCs w:val="24"/>
          <w:lang w:val="en-GB"/>
        </w:rPr>
        <w:tab/>
      </w:r>
      <w:r w:rsidRPr="00B96D8C">
        <w:rPr>
          <w:rFonts w:cs="Arial"/>
          <w:sz w:val="24"/>
          <w:szCs w:val="24"/>
          <w:lang w:val="en-GB"/>
        </w:rPr>
        <w:tab/>
      </w:r>
      <w:r w:rsidRPr="00B96D8C">
        <w:rPr>
          <w:rFonts w:cs="Arial"/>
          <w:sz w:val="24"/>
          <w:szCs w:val="24"/>
          <w:lang w:val="en-GB"/>
        </w:rPr>
        <w:tab/>
        <w:t xml:space="preserve">         </w:t>
      </w:r>
      <w:r w:rsidRPr="00B96D8C">
        <w:rPr>
          <w:rFonts w:cs="Arial"/>
          <w:sz w:val="24"/>
          <w:szCs w:val="24"/>
          <w:lang w:val="en-GB"/>
        </w:rPr>
        <w:tab/>
      </w:r>
      <w:r w:rsidRPr="00B96D8C">
        <w:rPr>
          <w:rFonts w:cs="Arial"/>
          <w:sz w:val="24"/>
          <w:szCs w:val="24"/>
          <w:lang w:val="en-GB"/>
        </w:rPr>
        <w:tab/>
      </w:r>
      <w:r w:rsidRPr="00B96D8C">
        <w:rPr>
          <w:rFonts w:cs="Arial"/>
          <w:sz w:val="24"/>
          <w:szCs w:val="24"/>
          <w:lang w:val="en-GB"/>
        </w:rPr>
        <w:tab/>
        <w:t>No.</w:t>
      </w:r>
    </w:p>
    <w:p w14:paraId="1671CC2C" w14:textId="77777777" w:rsidR="00E169E0" w:rsidRPr="00B96D8C" w:rsidRDefault="00E169E0" w:rsidP="00E169E0">
      <w:pPr>
        <w:jc w:val="center"/>
        <w:rPr>
          <w:rFonts w:cs="Arial"/>
          <w:sz w:val="24"/>
          <w:szCs w:val="24"/>
          <w:lang w:val="en-GB"/>
        </w:rPr>
      </w:pPr>
      <w:r w:rsidRPr="00B96D8C">
        <w:rPr>
          <w:rFonts w:cs="Arial"/>
          <w:sz w:val="24"/>
          <w:szCs w:val="24"/>
          <w:lang w:val="en-GB"/>
        </w:rPr>
        <w:t xml:space="preserve"> [</w:t>
      </w:r>
      <w:r w:rsidRPr="004C5D7E">
        <w:rPr>
          <w:rFonts w:cs="Arial"/>
          <w:sz w:val="24"/>
          <w:szCs w:val="24"/>
          <w:highlight w:val="yellow"/>
          <w:lang w:val="en-GB"/>
        </w:rPr>
        <w:t>Insert Name of Court</w:t>
      </w:r>
      <w:r w:rsidRPr="00B96D8C">
        <w:rPr>
          <w:rFonts w:cs="Arial"/>
          <w:sz w:val="24"/>
          <w:szCs w:val="24"/>
          <w:lang w:val="en-GB"/>
        </w:rPr>
        <w:t xml:space="preserve">] </w:t>
      </w:r>
    </w:p>
    <w:p w14:paraId="26B25F5F" w14:textId="77777777" w:rsidR="00E169E0" w:rsidRPr="00B96D8C" w:rsidRDefault="00E169E0" w:rsidP="00E169E0">
      <w:pPr>
        <w:rPr>
          <w:rFonts w:cs="Arial"/>
          <w:sz w:val="24"/>
          <w:szCs w:val="24"/>
          <w:lang w:val="en-GB"/>
        </w:rPr>
      </w:pPr>
      <w:r w:rsidRPr="00B96D8C">
        <w:rPr>
          <w:rFonts w:cs="Arial"/>
          <w:sz w:val="24"/>
          <w:szCs w:val="24"/>
          <w:lang w:val="en-GB"/>
        </w:rPr>
        <w:t>Between:</w:t>
      </w:r>
    </w:p>
    <w:p w14:paraId="24017982" w14:textId="77777777" w:rsidR="00E169E0" w:rsidRPr="00B96D8C" w:rsidRDefault="00E169E0" w:rsidP="00E169E0">
      <w:pPr>
        <w:jc w:val="center"/>
        <w:rPr>
          <w:rFonts w:cs="Arial"/>
          <w:sz w:val="24"/>
          <w:szCs w:val="24"/>
          <w:lang w:val="en-GB"/>
        </w:rPr>
      </w:pPr>
      <w:r w:rsidRPr="00B96D8C">
        <w:rPr>
          <w:rFonts w:cs="Arial"/>
          <w:sz w:val="24"/>
          <w:szCs w:val="24"/>
          <w:lang w:val="en-GB"/>
        </w:rPr>
        <w:t xml:space="preserve">                   </w:t>
      </w:r>
      <w:r>
        <w:rPr>
          <w:rFonts w:cs="Arial"/>
          <w:sz w:val="24"/>
          <w:szCs w:val="24"/>
          <w:lang w:val="en-GB"/>
        </w:rPr>
        <w:t xml:space="preserve">                        </w:t>
      </w:r>
      <w:r w:rsidRPr="00B96D8C">
        <w:rPr>
          <w:rFonts w:cs="Arial"/>
          <w:sz w:val="24"/>
          <w:szCs w:val="24"/>
          <w:lang w:val="en-GB"/>
        </w:rPr>
        <w:t>[</w:t>
      </w:r>
      <w:r w:rsidRPr="004C5D7E">
        <w:rPr>
          <w:rFonts w:cs="Arial"/>
          <w:sz w:val="24"/>
          <w:szCs w:val="24"/>
          <w:highlight w:val="yellow"/>
          <w:lang w:val="en-GB"/>
        </w:rPr>
        <w:t>NAME</w:t>
      </w:r>
      <w:r w:rsidRPr="00B96D8C">
        <w:rPr>
          <w:rFonts w:cs="Arial"/>
          <w:sz w:val="24"/>
          <w:szCs w:val="24"/>
          <w:lang w:val="en-GB"/>
        </w:rPr>
        <w:t>]</w:t>
      </w:r>
      <w:r w:rsidRPr="00B96D8C">
        <w:rPr>
          <w:rFonts w:cs="Arial"/>
          <w:sz w:val="24"/>
          <w:szCs w:val="24"/>
          <w:lang w:val="en-GB"/>
        </w:rPr>
        <w:tab/>
      </w:r>
      <w:r w:rsidRPr="00B96D8C">
        <w:rPr>
          <w:rFonts w:cs="Arial"/>
          <w:sz w:val="24"/>
          <w:szCs w:val="24"/>
          <w:lang w:val="en-GB"/>
        </w:rPr>
        <w:tab/>
        <w:t xml:space="preserve">         [</w:t>
      </w:r>
      <w:r w:rsidRPr="004C5D7E">
        <w:rPr>
          <w:rFonts w:cs="Arial"/>
          <w:sz w:val="24"/>
          <w:szCs w:val="24"/>
          <w:highlight w:val="yellow"/>
          <w:lang w:val="en-GB"/>
        </w:rPr>
        <w:t>Applicant]</w:t>
      </w:r>
    </w:p>
    <w:p w14:paraId="679F3A54" w14:textId="77777777" w:rsidR="00E169E0" w:rsidRPr="00B96D8C" w:rsidRDefault="00E169E0" w:rsidP="00E169E0">
      <w:pPr>
        <w:jc w:val="center"/>
        <w:rPr>
          <w:rFonts w:cs="Arial"/>
          <w:sz w:val="24"/>
          <w:szCs w:val="24"/>
          <w:lang w:val="en-GB"/>
        </w:rPr>
      </w:pPr>
      <w:r w:rsidRPr="00B96D8C">
        <w:rPr>
          <w:rFonts w:cs="Arial"/>
          <w:sz w:val="24"/>
          <w:szCs w:val="24"/>
          <w:lang w:val="en-GB"/>
        </w:rPr>
        <w:t>-and -</w:t>
      </w:r>
    </w:p>
    <w:p w14:paraId="628D9B01" w14:textId="77777777" w:rsidR="00E169E0" w:rsidRPr="00B96D8C" w:rsidRDefault="00E169E0" w:rsidP="00E169E0">
      <w:pPr>
        <w:jc w:val="center"/>
        <w:rPr>
          <w:rFonts w:cs="Arial"/>
          <w:sz w:val="24"/>
          <w:szCs w:val="24"/>
          <w:lang w:val="en-GB"/>
        </w:rPr>
      </w:pPr>
      <w:r w:rsidRPr="00B96D8C">
        <w:rPr>
          <w:rFonts w:cs="Arial"/>
          <w:sz w:val="24"/>
          <w:szCs w:val="24"/>
          <w:lang w:val="en-GB"/>
        </w:rPr>
        <w:t xml:space="preserve">                                           [</w:t>
      </w:r>
      <w:r w:rsidRPr="004C5D7E">
        <w:rPr>
          <w:rFonts w:cs="Arial"/>
          <w:sz w:val="24"/>
          <w:szCs w:val="24"/>
          <w:highlight w:val="yellow"/>
          <w:lang w:val="en-GB"/>
        </w:rPr>
        <w:t>NAME</w:t>
      </w:r>
      <w:r w:rsidRPr="00B96D8C">
        <w:rPr>
          <w:rFonts w:cs="Arial"/>
          <w:sz w:val="24"/>
          <w:szCs w:val="24"/>
          <w:lang w:val="en-GB"/>
        </w:rPr>
        <w:t>]</w:t>
      </w:r>
      <w:r w:rsidRPr="00B96D8C">
        <w:rPr>
          <w:rFonts w:cs="Arial"/>
          <w:sz w:val="24"/>
          <w:szCs w:val="24"/>
          <w:lang w:val="en-GB"/>
        </w:rPr>
        <w:tab/>
        <w:t xml:space="preserve">                    </w:t>
      </w:r>
      <w:r>
        <w:rPr>
          <w:rFonts w:cs="Arial"/>
          <w:sz w:val="24"/>
          <w:szCs w:val="24"/>
          <w:lang w:val="en-GB"/>
        </w:rPr>
        <w:t>[</w:t>
      </w:r>
      <w:r w:rsidRPr="004C5D7E">
        <w:rPr>
          <w:rFonts w:cs="Arial"/>
          <w:sz w:val="24"/>
          <w:szCs w:val="24"/>
          <w:highlight w:val="yellow"/>
          <w:lang w:val="en-GB"/>
        </w:rPr>
        <w:t>Respondent</w:t>
      </w:r>
      <w:r>
        <w:rPr>
          <w:rFonts w:cs="Arial"/>
          <w:sz w:val="24"/>
          <w:szCs w:val="24"/>
          <w:lang w:val="en-GB"/>
        </w:rPr>
        <w:t>]</w:t>
      </w:r>
    </w:p>
    <w:p w14:paraId="6D80642E" w14:textId="77777777" w:rsidR="00E169E0" w:rsidRPr="00B96D8C" w:rsidRDefault="00E169E0" w:rsidP="00E169E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Voice of the Child Report</w:t>
      </w:r>
      <w:r w:rsidRPr="00B96D8C">
        <w:rPr>
          <w:rFonts w:cs="Arial"/>
          <w:b/>
          <w:sz w:val="24"/>
          <w:szCs w:val="24"/>
        </w:rPr>
        <w:t xml:space="preserve"> Order</w:t>
      </w:r>
    </w:p>
    <w:p w14:paraId="71902B59" w14:textId="77777777" w:rsidR="00E169E0" w:rsidRPr="00B96D8C" w:rsidRDefault="00E169E0" w:rsidP="00E169E0">
      <w:pPr>
        <w:jc w:val="both"/>
        <w:rPr>
          <w:rFonts w:cs="Arial"/>
          <w:sz w:val="24"/>
          <w:szCs w:val="24"/>
          <w:lang w:val="en-GB"/>
        </w:rPr>
      </w:pPr>
      <w:r w:rsidRPr="00B96D8C">
        <w:rPr>
          <w:rFonts w:cs="Arial"/>
          <w:sz w:val="24"/>
          <w:szCs w:val="24"/>
          <w:lang w:val="en-GB"/>
        </w:rPr>
        <w:t>Before [</w:t>
      </w:r>
      <w:r w:rsidRPr="004C5D7E">
        <w:rPr>
          <w:rFonts w:cs="Arial"/>
          <w:sz w:val="24"/>
          <w:szCs w:val="24"/>
          <w:highlight w:val="yellow"/>
          <w:lang w:val="en-GB"/>
        </w:rPr>
        <w:t xml:space="preserve">insert </w:t>
      </w:r>
      <w:r>
        <w:rPr>
          <w:rFonts w:cs="Arial"/>
          <w:sz w:val="24"/>
          <w:szCs w:val="24"/>
          <w:highlight w:val="yellow"/>
          <w:lang w:val="en-GB"/>
        </w:rPr>
        <w:t xml:space="preserve">Her/His </w:t>
      </w:r>
      <w:r w:rsidRPr="004C5D7E">
        <w:rPr>
          <w:rFonts w:cs="Arial"/>
          <w:sz w:val="24"/>
          <w:szCs w:val="24"/>
          <w:highlight w:val="yellow"/>
          <w:lang w:val="en-GB"/>
        </w:rPr>
        <w:t>Honour Judge/the Honourable Justice</w:t>
      </w:r>
      <w:r w:rsidRPr="00B96D8C">
        <w:rPr>
          <w:rFonts w:cs="Arial"/>
          <w:sz w:val="24"/>
          <w:szCs w:val="24"/>
          <w:lang w:val="en-GB"/>
        </w:rPr>
        <w:t xml:space="preserve">]: </w:t>
      </w:r>
      <w:r w:rsidRPr="00B96D8C">
        <w:rPr>
          <w:rFonts w:cs="Arial"/>
          <w:sz w:val="24"/>
          <w:szCs w:val="24"/>
          <w:lang w:val="en-GB"/>
        </w:rPr>
        <w:tab/>
      </w:r>
    </w:p>
    <w:p w14:paraId="42DBF23D" w14:textId="77777777" w:rsidR="00E169E0" w:rsidRDefault="00E169E0" w:rsidP="00E169E0">
      <w:pPr>
        <w:jc w:val="both"/>
        <w:rPr>
          <w:rFonts w:cs="Arial"/>
          <w:sz w:val="24"/>
          <w:szCs w:val="24"/>
          <w:highlight w:val="yellow"/>
          <w:lang w:val="en-GB"/>
        </w:rPr>
      </w:pPr>
      <w:r>
        <w:rPr>
          <w:rFonts w:cs="Arial"/>
          <w:sz w:val="24"/>
          <w:szCs w:val="24"/>
          <w:lang w:val="en-GB"/>
        </w:rPr>
        <w:t>This proceeding is before this</w:t>
      </w:r>
      <w:r w:rsidRPr="00B96D8C">
        <w:rPr>
          <w:rFonts w:cs="Arial"/>
          <w:sz w:val="24"/>
          <w:szCs w:val="24"/>
          <w:lang w:val="en-GB"/>
        </w:rPr>
        <w:t xml:space="preserve"> </w:t>
      </w:r>
      <w:r>
        <w:rPr>
          <w:rFonts w:cs="Arial"/>
          <w:sz w:val="24"/>
          <w:szCs w:val="24"/>
          <w:lang w:val="en-GB"/>
        </w:rPr>
        <w:t>honourable court</w:t>
      </w:r>
      <w:r w:rsidRPr="00B96D8C">
        <w:rPr>
          <w:rFonts w:cs="Arial"/>
          <w:sz w:val="24"/>
          <w:szCs w:val="24"/>
          <w:lang w:val="en-GB"/>
        </w:rPr>
        <w:t xml:space="preserve"> for determination </w:t>
      </w:r>
      <w:r>
        <w:rPr>
          <w:rFonts w:cs="Arial"/>
          <w:sz w:val="24"/>
          <w:szCs w:val="24"/>
          <w:lang w:val="en-GB"/>
        </w:rPr>
        <w:t xml:space="preserve">of </w:t>
      </w:r>
      <w:r w:rsidRPr="00B96D8C">
        <w:rPr>
          <w:rFonts w:cs="Arial"/>
          <w:sz w:val="24"/>
          <w:szCs w:val="24"/>
          <w:lang w:val="en-GB"/>
        </w:rPr>
        <w:t>[</w:t>
      </w:r>
      <w:r w:rsidRPr="004C5D7E">
        <w:rPr>
          <w:rFonts w:cs="Arial"/>
          <w:sz w:val="24"/>
          <w:szCs w:val="24"/>
          <w:highlight w:val="yellow"/>
          <w:lang w:val="en-GB"/>
        </w:rPr>
        <w:t>insert description of circumstances</w:t>
      </w:r>
      <w:r>
        <w:rPr>
          <w:rFonts w:cs="Arial"/>
          <w:sz w:val="24"/>
          <w:szCs w:val="24"/>
          <w:highlight w:val="yellow"/>
          <w:lang w:val="en-GB"/>
        </w:rPr>
        <w:t>];</w:t>
      </w:r>
    </w:p>
    <w:p w14:paraId="0AE8E036" w14:textId="77777777" w:rsidR="00E169E0" w:rsidRPr="004C5D7E" w:rsidRDefault="00E169E0" w:rsidP="00E169E0">
      <w:pPr>
        <w:jc w:val="both"/>
        <w:rPr>
          <w:rFonts w:cs="Arial"/>
          <w:sz w:val="24"/>
          <w:szCs w:val="24"/>
          <w:lang w:val="en-GB"/>
        </w:rPr>
      </w:pPr>
      <w:r w:rsidRPr="004C5D7E">
        <w:rPr>
          <w:rFonts w:cs="Arial"/>
          <w:sz w:val="24"/>
          <w:szCs w:val="24"/>
          <w:lang w:val="en-GB"/>
        </w:rPr>
        <w:t>The parties have the following [</w:t>
      </w:r>
      <w:r w:rsidRPr="00D27EFE">
        <w:rPr>
          <w:rFonts w:cs="Arial"/>
          <w:sz w:val="24"/>
          <w:szCs w:val="24"/>
          <w:highlight w:val="yellow"/>
          <w:lang w:val="en-GB"/>
        </w:rPr>
        <w:t>child/children</w:t>
      </w:r>
      <w:r w:rsidRPr="004C5D7E">
        <w:rPr>
          <w:rFonts w:cs="Arial"/>
          <w:sz w:val="24"/>
          <w:szCs w:val="24"/>
          <w:lang w:val="en-GB"/>
        </w:rPr>
        <w:t>]:</w:t>
      </w:r>
    </w:p>
    <w:p w14:paraId="22EE2720" w14:textId="77777777" w:rsidR="00E169E0" w:rsidRDefault="00E169E0" w:rsidP="00E169E0">
      <w:pPr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ab/>
        <w:t>[</w:t>
      </w:r>
      <w:r w:rsidRPr="00D27EFE">
        <w:rPr>
          <w:rFonts w:cs="Arial"/>
          <w:sz w:val="24"/>
          <w:szCs w:val="24"/>
          <w:highlight w:val="yellow"/>
          <w:lang w:val="en-GB"/>
        </w:rPr>
        <w:t>Insert</w:t>
      </w:r>
      <w:r>
        <w:rPr>
          <w:rFonts w:cs="Arial"/>
          <w:sz w:val="24"/>
          <w:szCs w:val="24"/>
          <w:highlight w:val="yellow"/>
          <w:lang w:val="en-GB"/>
        </w:rPr>
        <w:t xml:space="preserve"> name and date of b</w:t>
      </w:r>
      <w:r w:rsidRPr="00D27EFE">
        <w:rPr>
          <w:rFonts w:cs="Arial"/>
          <w:sz w:val="24"/>
          <w:szCs w:val="24"/>
          <w:highlight w:val="yellow"/>
          <w:lang w:val="en-GB"/>
        </w:rPr>
        <w:t>irth</w:t>
      </w:r>
      <w:r w:rsidRPr="004C5D7E">
        <w:rPr>
          <w:rFonts w:cs="Arial"/>
          <w:sz w:val="24"/>
          <w:szCs w:val="24"/>
          <w:lang w:val="en-GB"/>
        </w:rPr>
        <w:t>]</w:t>
      </w:r>
      <w:r>
        <w:rPr>
          <w:rFonts w:cs="Arial"/>
          <w:sz w:val="24"/>
          <w:szCs w:val="24"/>
          <w:lang w:val="en-GB"/>
        </w:rPr>
        <w:t>;</w:t>
      </w:r>
    </w:p>
    <w:p w14:paraId="255FB03F" w14:textId="77777777" w:rsidR="00E169E0" w:rsidRDefault="00E169E0" w:rsidP="00E169E0">
      <w:pPr>
        <w:jc w:val="both"/>
        <w:rPr>
          <w:rFonts w:cs="Arial"/>
          <w:sz w:val="24"/>
          <w:szCs w:val="24"/>
          <w:lang w:val="en-GB"/>
        </w:rPr>
      </w:pPr>
      <w:r w:rsidRPr="00B96D8C">
        <w:rPr>
          <w:rFonts w:cs="Arial"/>
          <w:sz w:val="24"/>
          <w:szCs w:val="24"/>
          <w:lang w:val="en-GB"/>
        </w:rPr>
        <w:t xml:space="preserve">Proof of service of the </w:t>
      </w:r>
      <w:r>
        <w:rPr>
          <w:rFonts w:cs="Arial"/>
          <w:sz w:val="24"/>
          <w:szCs w:val="24"/>
          <w:lang w:val="en-GB"/>
        </w:rPr>
        <w:t>[</w:t>
      </w:r>
      <w:r w:rsidRPr="006F25B5">
        <w:rPr>
          <w:rFonts w:cs="Arial"/>
          <w:sz w:val="24"/>
          <w:szCs w:val="24"/>
          <w:highlight w:val="yellow"/>
          <w:lang w:val="en-GB"/>
        </w:rPr>
        <w:t>notice/application</w:t>
      </w:r>
      <w:r>
        <w:rPr>
          <w:rFonts w:cs="Arial"/>
          <w:sz w:val="24"/>
          <w:szCs w:val="24"/>
          <w:lang w:val="en-GB"/>
        </w:rPr>
        <w:t>]</w:t>
      </w:r>
      <w:r w:rsidRPr="00B96D8C">
        <w:rPr>
          <w:rFonts w:cs="Arial"/>
          <w:sz w:val="24"/>
          <w:szCs w:val="24"/>
          <w:lang w:val="en-GB"/>
        </w:rPr>
        <w:t xml:space="preserve"> has been established and the evidence presented by [</w:t>
      </w:r>
      <w:r w:rsidRPr="006F25B5">
        <w:rPr>
          <w:rFonts w:cs="Arial"/>
          <w:sz w:val="24"/>
          <w:szCs w:val="24"/>
          <w:highlight w:val="yellow"/>
          <w:lang w:val="en-GB"/>
        </w:rPr>
        <w:t>affidavit/testimony/affidavit and testimony</w:t>
      </w:r>
      <w:r>
        <w:rPr>
          <w:rFonts w:cs="Arial"/>
          <w:sz w:val="24"/>
          <w:szCs w:val="24"/>
          <w:lang w:val="en-GB"/>
        </w:rPr>
        <w:t>] has been considered;</w:t>
      </w:r>
      <w:r w:rsidRPr="00B96D8C">
        <w:rPr>
          <w:rFonts w:cs="Arial"/>
          <w:sz w:val="24"/>
          <w:szCs w:val="24"/>
          <w:lang w:val="en-GB"/>
        </w:rPr>
        <w:t xml:space="preserve"> </w:t>
      </w:r>
    </w:p>
    <w:p w14:paraId="62F92E83" w14:textId="77777777" w:rsidR="00E169E0" w:rsidRDefault="00E169E0" w:rsidP="00E169E0">
      <w:pPr>
        <w:pStyle w:val="NoSpacing"/>
        <w:jc w:val="both"/>
        <w:rPr>
          <w:lang w:val="en-GB"/>
        </w:rPr>
      </w:pPr>
      <w:r w:rsidRPr="006F25B5">
        <w:rPr>
          <w:lang w:val="en-GB"/>
        </w:rPr>
        <w:t>[On the judge’s own motion</w:t>
      </w:r>
      <w:r>
        <w:rPr>
          <w:lang w:val="en-GB"/>
        </w:rPr>
        <w:t>]</w:t>
      </w:r>
      <w:r w:rsidRPr="006F25B5">
        <w:rPr>
          <w:lang w:val="en-GB"/>
        </w:rPr>
        <w:t xml:space="preserve"> </w:t>
      </w:r>
      <w:r w:rsidRPr="006F25B5">
        <w:rPr>
          <w:highlight w:val="yellow"/>
          <w:lang w:val="en-GB"/>
        </w:rPr>
        <w:t>or</w:t>
      </w:r>
      <w:r w:rsidRPr="006F25B5">
        <w:rPr>
          <w:lang w:val="en-GB"/>
        </w:rPr>
        <w:t xml:space="preserve"> </w:t>
      </w:r>
      <w:r>
        <w:rPr>
          <w:lang w:val="en-GB"/>
        </w:rPr>
        <w:t xml:space="preserve">[On motion of </w:t>
      </w:r>
      <w:r w:rsidRPr="006F25B5">
        <w:rPr>
          <w:highlight w:val="yellow"/>
          <w:lang w:val="en-GB"/>
        </w:rPr>
        <w:t>name of moving party, parties, or counsel</w:t>
      </w:r>
      <w:r w:rsidRPr="006F25B5">
        <w:rPr>
          <w:lang w:val="en-GB"/>
        </w:rPr>
        <w:t xml:space="preserve">], </w:t>
      </w:r>
      <w:r>
        <w:rPr>
          <w:lang w:val="en-GB"/>
        </w:rPr>
        <w:t>a Voice of the Child Report has been requested in order to obtain the views and preferences of [</w:t>
      </w:r>
      <w:r w:rsidRPr="00A73964">
        <w:rPr>
          <w:highlight w:val="yellow"/>
          <w:lang w:val="en-GB"/>
        </w:rPr>
        <w:t>insert child or children</w:t>
      </w:r>
      <w:r>
        <w:rPr>
          <w:lang w:val="en-GB"/>
        </w:rPr>
        <w:t>];</w:t>
      </w:r>
    </w:p>
    <w:p w14:paraId="0C7A3853" w14:textId="77777777" w:rsidR="00E169E0" w:rsidRDefault="00E169E0" w:rsidP="00E169E0">
      <w:pPr>
        <w:pStyle w:val="NoSpacing"/>
        <w:jc w:val="both"/>
        <w:rPr>
          <w:lang w:val="en-GB"/>
        </w:rPr>
      </w:pPr>
    </w:p>
    <w:p w14:paraId="47CF8EBC" w14:textId="77777777" w:rsidR="00E169E0" w:rsidRDefault="00E169E0" w:rsidP="00E169E0">
      <w:pPr>
        <w:pStyle w:val="NoSpacing"/>
        <w:jc w:val="both"/>
        <w:rPr>
          <w:lang w:val="en-GB"/>
        </w:rPr>
      </w:pPr>
      <w:r>
        <w:rPr>
          <w:lang w:val="en-GB"/>
        </w:rPr>
        <w:t>The court has determined that in these circumstances it is appropriate and in the best interest of [</w:t>
      </w:r>
      <w:r w:rsidRPr="00A73964">
        <w:rPr>
          <w:highlight w:val="yellow"/>
          <w:lang w:val="en-GB"/>
        </w:rPr>
        <w:t>insert name of child/children</w:t>
      </w:r>
      <w:r>
        <w:rPr>
          <w:lang w:val="en-GB"/>
        </w:rPr>
        <w:t>] to obtain a Voice of the Child Report [</w:t>
      </w:r>
      <w:r w:rsidRPr="00A73964">
        <w:rPr>
          <w:highlight w:val="yellow"/>
          <w:lang w:val="en-GB"/>
        </w:rPr>
        <w:t>and the party/parties also consent to this order</w:t>
      </w:r>
      <w:r>
        <w:rPr>
          <w:lang w:val="en-GB"/>
        </w:rPr>
        <w:t xml:space="preserve">]; </w:t>
      </w:r>
    </w:p>
    <w:p w14:paraId="00A3A030" w14:textId="77777777" w:rsidR="00E169E0" w:rsidRDefault="00E169E0" w:rsidP="00E169E0">
      <w:pPr>
        <w:pStyle w:val="NoSpacing"/>
        <w:jc w:val="both"/>
        <w:rPr>
          <w:lang w:val="en-GB"/>
        </w:rPr>
      </w:pPr>
    </w:p>
    <w:p w14:paraId="2044F568" w14:textId="007F5787" w:rsidR="00E169E0" w:rsidRDefault="00E169E0" w:rsidP="00E169E0">
      <w:pPr>
        <w:pStyle w:val="NoSpacing"/>
        <w:jc w:val="both"/>
        <w:rPr>
          <w:rFonts w:cs="Arial"/>
          <w:sz w:val="24"/>
          <w:szCs w:val="24"/>
          <w:lang w:val="en-GB"/>
        </w:rPr>
      </w:pPr>
      <w:r>
        <w:rPr>
          <w:lang w:val="en-GB"/>
        </w:rPr>
        <w:t>Accordingly, pursuant to</w:t>
      </w:r>
      <w:r w:rsidRPr="006F25B5">
        <w:rPr>
          <w:rFonts w:cs="Arial"/>
          <w:sz w:val="24"/>
          <w:szCs w:val="24"/>
          <w:lang w:val="en-GB"/>
        </w:rPr>
        <w:t xml:space="preserve"> [</w:t>
      </w:r>
      <w:r w:rsidRPr="00D600C1">
        <w:rPr>
          <w:rFonts w:cs="Arial"/>
          <w:sz w:val="24"/>
          <w:szCs w:val="24"/>
          <w:highlight w:val="yellow"/>
          <w:lang w:val="en-GB"/>
        </w:rPr>
        <w:t xml:space="preserve">section 19 of the </w:t>
      </w:r>
      <w:r w:rsidR="00CC0AFE">
        <w:rPr>
          <w:rFonts w:cs="Arial"/>
          <w:sz w:val="24"/>
          <w:szCs w:val="24"/>
          <w:highlight w:val="yellow"/>
          <w:lang w:val="en-GB"/>
        </w:rPr>
        <w:t>Parenting and Support</w:t>
      </w:r>
      <w:r w:rsidRPr="00D600C1">
        <w:rPr>
          <w:rFonts w:cs="Arial"/>
          <w:sz w:val="24"/>
          <w:szCs w:val="24"/>
          <w:highlight w:val="yellow"/>
          <w:lang w:val="en-GB"/>
        </w:rPr>
        <w:t xml:space="preserve"> Act, </w:t>
      </w:r>
      <w:r w:rsidRPr="00D600C1">
        <w:rPr>
          <w:rFonts w:cs="Arial"/>
          <w:sz w:val="24"/>
          <w:szCs w:val="24"/>
          <w:lang w:val="en-GB"/>
        </w:rPr>
        <w:t>or</w:t>
      </w:r>
      <w:r w:rsidRPr="00D600C1">
        <w:rPr>
          <w:rFonts w:cs="Arial"/>
          <w:sz w:val="24"/>
          <w:szCs w:val="24"/>
          <w:highlight w:val="yellow"/>
          <w:lang w:val="en-GB"/>
        </w:rPr>
        <w:t xml:space="preserve"> section 32F of the Judicature Act </w:t>
      </w:r>
      <w:r w:rsidRPr="00D600C1">
        <w:rPr>
          <w:rFonts w:cs="Arial"/>
          <w:sz w:val="24"/>
          <w:szCs w:val="24"/>
          <w:lang w:val="en-GB"/>
        </w:rPr>
        <w:t xml:space="preserve">or </w:t>
      </w:r>
      <w:r w:rsidRPr="00D600C1">
        <w:rPr>
          <w:rFonts w:cs="Arial"/>
          <w:sz w:val="24"/>
          <w:szCs w:val="24"/>
          <w:highlight w:val="yellow"/>
          <w:lang w:val="en-GB"/>
        </w:rPr>
        <w:t xml:space="preserve">under the court’s inherent </w:t>
      </w:r>
      <w:proofErr w:type="spellStart"/>
      <w:r w:rsidRPr="00D600C1">
        <w:rPr>
          <w:rFonts w:cs="Arial"/>
          <w:sz w:val="24"/>
          <w:szCs w:val="24"/>
          <w:highlight w:val="yellow"/>
          <w:lang w:val="en-GB"/>
        </w:rPr>
        <w:t>parens</w:t>
      </w:r>
      <w:proofErr w:type="spellEnd"/>
      <w:r w:rsidRPr="00D600C1">
        <w:rPr>
          <w:rFonts w:cs="Arial"/>
          <w:sz w:val="24"/>
          <w:szCs w:val="24"/>
          <w:highlight w:val="yellow"/>
          <w:lang w:val="en-GB"/>
        </w:rPr>
        <w:t xml:space="preserve"> patriae jurisdiction</w:t>
      </w:r>
      <w:r w:rsidRPr="006F25B5">
        <w:rPr>
          <w:rFonts w:cs="Arial"/>
          <w:sz w:val="24"/>
          <w:szCs w:val="24"/>
          <w:lang w:val="en-GB"/>
        </w:rPr>
        <w:t>]</w:t>
      </w:r>
      <w:r>
        <w:rPr>
          <w:rFonts w:cs="Arial"/>
          <w:sz w:val="24"/>
          <w:szCs w:val="24"/>
          <w:lang w:val="en-GB"/>
        </w:rPr>
        <w:t xml:space="preserve"> a Voice of the Child Report shall be obtained pursuant to the terms and conditions set out herein:</w:t>
      </w:r>
    </w:p>
    <w:p w14:paraId="10875174" w14:textId="77777777" w:rsidR="00E169E0" w:rsidRDefault="00E169E0" w:rsidP="00E169E0">
      <w:pPr>
        <w:pStyle w:val="NoSpacing"/>
        <w:jc w:val="both"/>
        <w:rPr>
          <w:rFonts w:cs="Arial"/>
          <w:sz w:val="24"/>
          <w:szCs w:val="24"/>
          <w:lang w:val="en-GB"/>
        </w:rPr>
      </w:pPr>
    </w:p>
    <w:p w14:paraId="324C96BC" w14:textId="77777777" w:rsidR="00E169E0" w:rsidRPr="00B96D8C" w:rsidRDefault="00E169E0" w:rsidP="00E169E0">
      <w:pPr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The </w:t>
      </w:r>
      <w:r w:rsidRPr="00B96D8C">
        <w:rPr>
          <w:rFonts w:cs="Arial"/>
          <w:sz w:val="24"/>
          <w:szCs w:val="24"/>
          <w:lang w:val="en-GB"/>
        </w:rPr>
        <w:t xml:space="preserve">appropriate contribution of each party pursuant to the Regulations made under the </w:t>
      </w:r>
      <w:r w:rsidRPr="00B96D8C">
        <w:rPr>
          <w:rFonts w:cs="Arial"/>
          <w:i/>
          <w:sz w:val="24"/>
          <w:szCs w:val="24"/>
          <w:lang w:val="en-GB"/>
        </w:rPr>
        <w:t>Costs and Fees Act</w:t>
      </w:r>
      <w:r w:rsidRPr="00B96D8C">
        <w:rPr>
          <w:rFonts w:cs="Arial"/>
          <w:sz w:val="24"/>
          <w:szCs w:val="24"/>
          <w:lang w:val="en-GB"/>
        </w:rPr>
        <w:t>, [</w:t>
      </w:r>
      <w:r w:rsidRPr="00B13980">
        <w:rPr>
          <w:rFonts w:cs="Arial"/>
          <w:sz w:val="24"/>
          <w:szCs w:val="24"/>
          <w:highlight w:val="yellow"/>
          <w:lang w:val="en-GB"/>
        </w:rPr>
        <w:t>or other finding as to payment as the judge directs</w:t>
      </w:r>
      <w:r w:rsidRPr="00B96D8C">
        <w:rPr>
          <w:rFonts w:cs="Arial"/>
          <w:sz w:val="24"/>
          <w:szCs w:val="24"/>
          <w:lang w:val="en-GB"/>
        </w:rPr>
        <w:t>]</w:t>
      </w:r>
      <w:r>
        <w:rPr>
          <w:rFonts w:cs="Arial"/>
          <w:sz w:val="24"/>
          <w:szCs w:val="24"/>
          <w:lang w:val="en-GB"/>
        </w:rPr>
        <w:t xml:space="preserve"> shall be dealt with under a separate order of this court</w:t>
      </w:r>
      <w:r w:rsidRPr="00B96D8C">
        <w:rPr>
          <w:rFonts w:cs="Arial"/>
          <w:sz w:val="24"/>
          <w:szCs w:val="24"/>
          <w:lang w:val="en-GB"/>
        </w:rPr>
        <w:t>.</w:t>
      </w:r>
    </w:p>
    <w:p w14:paraId="3F3F8659" w14:textId="77777777" w:rsidR="00E169E0" w:rsidRPr="00176D80" w:rsidRDefault="00E169E0" w:rsidP="00E169E0">
      <w:pPr>
        <w:tabs>
          <w:tab w:val="left" w:pos="720"/>
        </w:tabs>
        <w:ind w:left="720" w:hanging="720"/>
        <w:jc w:val="both"/>
        <w:rPr>
          <w:rFonts w:cs="Arial"/>
          <w:b/>
          <w:sz w:val="24"/>
          <w:szCs w:val="24"/>
          <w:lang w:val="en-GB"/>
        </w:rPr>
      </w:pPr>
      <w:r w:rsidRPr="00176D80">
        <w:rPr>
          <w:rFonts w:cs="Arial"/>
          <w:b/>
          <w:sz w:val="24"/>
          <w:szCs w:val="24"/>
          <w:lang w:val="en-GB"/>
        </w:rPr>
        <w:t>Now upon Motion it is ordered:</w:t>
      </w:r>
    </w:p>
    <w:p w14:paraId="0311D093" w14:textId="77777777" w:rsidR="00E169E0" w:rsidRDefault="00E169E0" w:rsidP="00E169E0">
      <w:pPr>
        <w:tabs>
          <w:tab w:val="left" w:pos="720"/>
        </w:tabs>
        <w:ind w:left="720" w:hanging="72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1.</w:t>
      </w:r>
      <w:r>
        <w:rPr>
          <w:rFonts w:cs="Arial"/>
          <w:sz w:val="24"/>
          <w:szCs w:val="24"/>
          <w:lang w:val="en-GB"/>
        </w:rPr>
        <w:tab/>
        <w:t>A Voice of the Child Report is hereby ordered.  The report shall be completed and filed with the court on or before [</w:t>
      </w:r>
      <w:r w:rsidRPr="000D044B">
        <w:rPr>
          <w:rFonts w:cs="Arial"/>
          <w:sz w:val="24"/>
          <w:szCs w:val="24"/>
          <w:highlight w:val="yellow"/>
          <w:u w:val="single"/>
          <w:lang w:val="en-GB"/>
        </w:rPr>
        <w:t>insert date</w:t>
      </w:r>
      <w:r>
        <w:rPr>
          <w:rFonts w:cs="Arial"/>
          <w:sz w:val="24"/>
          <w:szCs w:val="24"/>
          <w:lang w:val="en-GB"/>
        </w:rPr>
        <w:t xml:space="preserve">.] The purpose of the report is to obtain the views </w:t>
      </w:r>
      <w:r>
        <w:rPr>
          <w:rFonts w:cs="Arial"/>
          <w:sz w:val="24"/>
          <w:szCs w:val="24"/>
          <w:lang w:val="en-GB"/>
        </w:rPr>
        <w:lastRenderedPageBreak/>
        <w:t>and preferences of [the</w:t>
      </w:r>
      <w:r w:rsidRPr="00176D80">
        <w:rPr>
          <w:rFonts w:cs="Arial"/>
          <w:sz w:val="24"/>
          <w:szCs w:val="24"/>
          <w:highlight w:val="yellow"/>
          <w:lang w:val="en-GB"/>
        </w:rPr>
        <w:t xml:space="preserve"> child/children</w:t>
      </w:r>
      <w:r>
        <w:rPr>
          <w:rFonts w:cs="Arial"/>
          <w:sz w:val="24"/>
          <w:szCs w:val="24"/>
          <w:lang w:val="en-GB"/>
        </w:rPr>
        <w:t>] respecting [the</w:t>
      </w:r>
      <w:r>
        <w:rPr>
          <w:rFonts w:cs="Arial"/>
          <w:sz w:val="24"/>
          <w:szCs w:val="24"/>
          <w:highlight w:val="yellow"/>
          <w:lang w:val="en-GB"/>
        </w:rPr>
        <w:t xml:space="preserve"> </w:t>
      </w:r>
      <w:r w:rsidRPr="007460EA">
        <w:rPr>
          <w:rFonts w:cs="Arial"/>
          <w:sz w:val="24"/>
          <w:szCs w:val="24"/>
          <w:highlight w:val="yellow"/>
          <w:lang w:val="en-GB"/>
        </w:rPr>
        <w:t>insert particulars</w:t>
      </w:r>
      <w:r w:rsidRPr="007460EA">
        <w:rPr>
          <w:rFonts w:cs="Arial"/>
          <w:sz w:val="24"/>
          <w:szCs w:val="24"/>
          <w:lang w:val="en-GB"/>
        </w:rPr>
        <w:t xml:space="preserve"> </w:t>
      </w:r>
      <w:r>
        <w:rPr>
          <w:rFonts w:cs="Arial"/>
          <w:sz w:val="24"/>
          <w:szCs w:val="24"/>
          <w:highlight w:val="yellow"/>
          <w:lang w:val="en-GB"/>
        </w:rPr>
        <w:t>parenting arrangements/custody/access/</w:t>
      </w:r>
      <w:r>
        <w:rPr>
          <w:rFonts w:cs="Arial"/>
          <w:sz w:val="24"/>
          <w:szCs w:val="24"/>
          <w:lang w:val="en-GB"/>
        </w:rPr>
        <w:t>];</w:t>
      </w:r>
    </w:p>
    <w:p w14:paraId="5D7B5717" w14:textId="77777777" w:rsidR="00E169E0" w:rsidRPr="00044676" w:rsidRDefault="00E169E0" w:rsidP="00044676">
      <w:pPr>
        <w:tabs>
          <w:tab w:val="left" w:pos="720"/>
        </w:tabs>
        <w:ind w:left="720" w:hanging="7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2.</w:t>
      </w:r>
      <w:r>
        <w:rPr>
          <w:rFonts w:cs="Arial"/>
          <w:sz w:val="24"/>
          <w:szCs w:val="24"/>
          <w:lang w:val="en-GB"/>
        </w:rPr>
        <w:tab/>
      </w:r>
      <w:r w:rsidRPr="00044676">
        <w:rPr>
          <w:rFonts w:cs="Arial"/>
          <w:sz w:val="24"/>
          <w:szCs w:val="24"/>
          <w:lang w:val="en-GB"/>
        </w:rPr>
        <w:t xml:space="preserve">The report shall be prepared in accordance with the </w:t>
      </w:r>
      <w:r w:rsidRPr="00044676">
        <w:rPr>
          <w:rFonts w:cs="Arial"/>
          <w:b/>
          <w:sz w:val="24"/>
          <w:szCs w:val="24"/>
          <w:lang w:val="en-GB"/>
        </w:rPr>
        <w:t>Voice of the Child Report Guidelines.</w:t>
      </w:r>
      <w:r w:rsidRPr="00044676">
        <w:rPr>
          <w:rFonts w:cs="Arial"/>
          <w:sz w:val="24"/>
          <w:szCs w:val="24"/>
          <w:lang w:val="en-GB"/>
        </w:rPr>
        <w:t xml:space="preserve"> These guidelines are available at</w:t>
      </w:r>
      <w:r w:rsidR="00044676" w:rsidRPr="00044676">
        <w:rPr>
          <w:rFonts w:cs="Arial"/>
          <w:sz w:val="24"/>
          <w:szCs w:val="24"/>
          <w:lang w:val="en-GB"/>
        </w:rPr>
        <w:t xml:space="preserve"> </w:t>
      </w:r>
      <w:hyperlink r:id="rId4" w:history="1">
        <w:r w:rsidR="00044676" w:rsidRPr="00044676">
          <w:rPr>
            <w:rStyle w:val="Hyperlink"/>
            <w:sz w:val="24"/>
            <w:szCs w:val="24"/>
          </w:rPr>
          <w:t>http://www.nsfamilylaw.ca/other/assessments-VCR/VCR/VCRGuidelines</w:t>
        </w:r>
      </w:hyperlink>
      <w:r w:rsidRPr="00044676">
        <w:rPr>
          <w:rFonts w:cs="Arial"/>
          <w:sz w:val="24"/>
          <w:szCs w:val="24"/>
          <w:lang w:val="en-GB"/>
        </w:rPr>
        <w:t>; or the assessor may request a copy from [</w:t>
      </w:r>
      <w:r w:rsidRPr="00044676">
        <w:rPr>
          <w:rFonts w:cs="Arial"/>
          <w:sz w:val="24"/>
          <w:szCs w:val="24"/>
          <w:highlight w:val="yellow"/>
          <w:lang w:val="en-GB"/>
        </w:rPr>
        <w:t>insert contact person at court</w:t>
      </w:r>
      <w:r w:rsidRPr="00044676">
        <w:rPr>
          <w:rFonts w:cs="Arial"/>
          <w:sz w:val="24"/>
          <w:szCs w:val="24"/>
          <w:lang w:val="en-GB"/>
        </w:rPr>
        <w:t>];</w:t>
      </w:r>
    </w:p>
    <w:p w14:paraId="5FC8F655" w14:textId="77777777" w:rsidR="00E169E0" w:rsidRPr="00437038" w:rsidRDefault="00E169E0" w:rsidP="00E169E0">
      <w:pPr>
        <w:tabs>
          <w:tab w:val="left" w:pos="720"/>
        </w:tabs>
        <w:ind w:left="720" w:hanging="720"/>
        <w:jc w:val="both"/>
        <w:rPr>
          <w:rFonts w:cs="Arial"/>
          <w:color w:val="FF0000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3.</w:t>
      </w:r>
      <w:r>
        <w:rPr>
          <w:rFonts w:cs="Arial"/>
          <w:sz w:val="24"/>
          <w:szCs w:val="24"/>
          <w:lang w:val="en-GB"/>
        </w:rPr>
        <w:tab/>
      </w:r>
      <w:r w:rsidRPr="00437038">
        <w:rPr>
          <w:rFonts w:cs="Arial"/>
          <w:sz w:val="24"/>
          <w:szCs w:val="24"/>
          <w:lang w:val="en-GB"/>
        </w:rPr>
        <w:t>The</w:t>
      </w:r>
      <w:r w:rsidRPr="00437038">
        <w:t xml:space="preserve"> </w:t>
      </w:r>
      <w:r w:rsidRPr="00437038">
        <w:rPr>
          <w:rFonts w:cs="Arial"/>
          <w:sz w:val="24"/>
          <w:szCs w:val="24"/>
          <w:lang w:val="en-GB"/>
        </w:rPr>
        <w:t>assessor shall not have access to or be provided any materials maintained by the court unless the court approves otherwise.</w:t>
      </w:r>
    </w:p>
    <w:p w14:paraId="3B9EF7B7" w14:textId="77777777" w:rsidR="00E169E0" w:rsidRPr="002F59B8" w:rsidRDefault="00E169E0" w:rsidP="00E169E0">
      <w:pPr>
        <w:tabs>
          <w:tab w:val="left" w:pos="720"/>
        </w:tabs>
        <w:ind w:left="720" w:hanging="72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4.</w:t>
      </w:r>
      <w:r>
        <w:rPr>
          <w:rFonts w:cs="Arial"/>
          <w:sz w:val="24"/>
          <w:szCs w:val="24"/>
          <w:lang w:val="en-GB"/>
        </w:rPr>
        <w:tab/>
      </w:r>
      <w:r w:rsidRPr="00437038">
        <w:rPr>
          <w:rFonts w:cs="Arial"/>
          <w:sz w:val="24"/>
          <w:szCs w:val="24"/>
          <w:highlight w:val="yellow"/>
          <w:lang w:val="en-GB"/>
        </w:rPr>
        <w:t>[</w:t>
      </w:r>
      <w:r w:rsidRPr="002F59B8">
        <w:rPr>
          <w:rFonts w:cs="Arial"/>
          <w:sz w:val="24"/>
          <w:szCs w:val="24"/>
          <w:highlight w:val="yellow"/>
          <w:lang w:val="en-GB"/>
        </w:rPr>
        <w:t>Optional]</w:t>
      </w:r>
      <w:r w:rsidRPr="002F59B8">
        <w:rPr>
          <w:rFonts w:cs="Arial"/>
          <w:sz w:val="24"/>
          <w:szCs w:val="24"/>
          <w:lang w:val="en-GB"/>
        </w:rPr>
        <w:t xml:space="preserve"> The </w:t>
      </w:r>
      <w:r>
        <w:rPr>
          <w:rFonts w:cs="Arial"/>
          <w:sz w:val="24"/>
          <w:szCs w:val="24"/>
          <w:lang w:val="en-GB"/>
        </w:rPr>
        <w:t>a</w:t>
      </w:r>
      <w:r w:rsidRPr="002F59B8">
        <w:rPr>
          <w:rFonts w:cs="Arial"/>
          <w:sz w:val="24"/>
          <w:szCs w:val="24"/>
          <w:lang w:val="en-GB"/>
        </w:rPr>
        <w:t xml:space="preserve">ssessor is to be provided with a copy of the filed Parenting Statements of each party </w:t>
      </w:r>
      <w:r w:rsidRPr="002F59B8">
        <w:rPr>
          <w:rFonts w:cs="Arial"/>
          <w:sz w:val="24"/>
          <w:szCs w:val="24"/>
          <w:highlight w:val="yellow"/>
          <w:lang w:val="en-GB"/>
        </w:rPr>
        <w:t>[and/or]</w:t>
      </w:r>
      <w:r w:rsidRPr="002F59B8">
        <w:rPr>
          <w:rFonts w:cs="Arial"/>
          <w:sz w:val="24"/>
          <w:szCs w:val="24"/>
          <w:lang w:val="en-GB"/>
        </w:rPr>
        <w:t xml:space="preserve"> each party must complete and exchange the Parenting Proposal </w:t>
      </w:r>
      <w:r>
        <w:rPr>
          <w:rFonts w:cs="Arial"/>
          <w:sz w:val="24"/>
          <w:szCs w:val="24"/>
          <w:lang w:val="en-GB"/>
        </w:rPr>
        <w:t>F</w:t>
      </w:r>
      <w:r w:rsidRPr="002F59B8">
        <w:rPr>
          <w:rFonts w:cs="Arial"/>
          <w:sz w:val="24"/>
          <w:szCs w:val="24"/>
          <w:lang w:val="en-GB"/>
        </w:rPr>
        <w:t>orm attached hereto as Appendix 1. The purpose of this form is to provide the assessor a brief description of the competing proposals in advance of conducting any interviews. The forms are to be filed with the court and exchanged by the parties within [</w:t>
      </w:r>
      <w:r w:rsidRPr="002F59B8">
        <w:rPr>
          <w:rFonts w:cs="Arial"/>
          <w:sz w:val="24"/>
          <w:szCs w:val="24"/>
          <w:highlight w:val="yellow"/>
          <w:lang w:val="en-GB"/>
        </w:rPr>
        <w:t>7</w:t>
      </w:r>
      <w:r w:rsidRPr="002F59B8">
        <w:rPr>
          <w:rFonts w:cs="Arial"/>
          <w:sz w:val="24"/>
          <w:szCs w:val="24"/>
          <w:lang w:val="en-GB"/>
        </w:rPr>
        <w:t>] days from the date this order is issued.</w:t>
      </w:r>
    </w:p>
    <w:p w14:paraId="5C920357" w14:textId="77777777" w:rsidR="00E169E0" w:rsidRPr="002F59B8" w:rsidRDefault="00E169E0" w:rsidP="00E169E0">
      <w:pPr>
        <w:tabs>
          <w:tab w:val="left" w:pos="720"/>
        </w:tabs>
        <w:ind w:left="720" w:hanging="720"/>
        <w:jc w:val="both"/>
        <w:rPr>
          <w:rFonts w:cs="Arial"/>
          <w:sz w:val="24"/>
          <w:szCs w:val="24"/>
          <w:lang w:val="en-GB"/>
        </w:rPr>
      </w:pPr>
      <w:r w:rsidRPr="002F59B8">
        <w:rPr>
          <w:rFonts w:cs="Arial"/>
          <w:sz w:val="24"/>
          <w:szCs w:val="24"/>
          <w:lang w:val="en-GB"/>
        </w:rPr>
        <w:t>5.</w:t>
      </w:r>
      <w:r w:rsidRPr="002F59B8">
        <w:rPr>
          <w:rFonts w:cs="Arial"/>
          <w:sz w:val="24"/>
          <w:szCs w:val="24"/>
          <w:lang w:val="en-GB"/>
        </w:rPr>
        <w:tab/>
        <w:t xml:space="preserve"> </w:t>
      </w:r>
      <w:r w:rsidRPr="002F59B8">
        <w:rPr>
          <w:rFonts w:cs="Arial"/>
          <w:sz w:val="24"/>
          <w:szCs w:val="24"/>
          <w:highlight w:val="yellow"/>
          <w:lang w:val="en-GB"/>
        </w:rPr>
        <w:t>[Optional]</w:t>
      </w:r>
      <w:r w:rsidRPr="002F59B8">
        <w:rPr>
          <w:rFonts w:cs="Arial"/>
          <w:sz w:val="24"/>
          <w:szCs w:val="24"/>
          <w:lang w:val="en-GB"/>
        </w:rPr>
        <w:t xml:space="preserve"> The assessor is authorized to contact the following collaterals [</w:t>
      </w:r>
      <w:r w:rsidRPr="002F59B8">
        <w:rPr>
          <w:rFonts w:cs="Arial"/>
          <w:sz w:val="24"/>
          <w:szCs w:val="24"/>
          <w:highlight w:val="yellow"/>
          <w:lang w:val="en-GB"/>
        </w:rPr>
        <w:t>insert</w:t>
      </w:r>
      <w:r w:rsidRPr="002F59B8">
        <w:rPr>
          <w:rFonts w:cs="Arial"/>
          <w:sz w:val="24"/>
          <w:szCs w:val="24"/>
          <w:lang w:val="en-GB"/>
        </w:rPr>
        <w:t xml:space="preserve">] for the purpose of completing the assessment. </w:t>
      </w:r>
      <w:r w:rsidRPr="002F59B8">
        <w:rPr>
          <w:rFonts w:cs="Arial"/>
          <w:sz w:val="24"/>
          <w:szCs w:val="24"/>
        </w:rPr>
        <w:tab/>
      </w:r>
    </w:p>
    <w:p w14:paraId="689714F8" w14:textId="77777777" w:rsidR="00E169E0" w:rsidRPr="00B13980" w:rsidRDefault="00E169E0" w:rsidP="00E169E0">
      <w:pPr>
        <w:tabs>
          <w:tab w:val="left" w:pos="720"/>
          <w:tab w:val="left" w:pos="1440"/>
        </w:tabs>
        <w:ind w:left="720" w:hanging="72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6.</w:t>
      </w:r>
      <w:r>
        <w:rPr>
          <w:rFonts w:cs="Arial"/>
          <w:sz w:val="24"/>
          <w:szCs w:val="24"/>
          <w:lang w:val="en-GB"/>
        </w:rPr>
        <w:tab/>
      </w:r>
      <w:r w:rsidRPr="00C86C52">
        <w:rPr>
          <w:rFonts w:cs="Arial"/>
          <w:sz w:val="24"/>
          <w:szCs w:val="24"/>
          <w:lang w:val="en-GB"/>
        </w:rPr>
        <w:t xml:space="preserve">The assessor shall provide the </w:t>
      </w:r>
      <w:r>
        <w:rPr>
          <w:rFonts w:cs="Arial"/>
          <w:sz w:val="24"/>
          <w:szCs w:val="24"/>
          <w:lang w:val="en-GB"/>
        </w:rPr>
        <w:t>r</w:t>
      </w:r>
      <w:r w:rsidRPr="00C86C52">
        <w:rPr>
          <w:rFonts w:cs="Arial"/>
          <w:sz w:val="24"/>
          <w:szCs w:val="24"/>
          <w:lang w:val="en-GB"/>
        </w:rPr>
        <w:t xml:space="preserve">eport directly to the court. Upon filing the </w:t>
      </w:r>
      <w:r>
        <w:rPr>
          <w:rFonts w:cs="Arial"/>
          <w:sz w:val="24"/>
          <w:szCs w:val="24"/>
          <w:lang w:val="en-GB"/>
        </w:rPr>
        <w:t>r</w:t>
      </w:r>
      <w:r w:rsidRPr="00C86C52">
        <w:rPr>
          <w:rFonts w:cs="Arial"/>
          <w:sz w:val="24"/>
          <w:szCs w:val="24"/>
          <w:lang w:val="en-GB"/>
        </w:rPr>
        <w:t xml:space="preserve">eport, the assessor should address any concerns with the </w:t>
      </w:r>
      <w:r>
        <w:rPr>
          <w:rFonts w:cs="Arial"/>
          <w:sz w:val="24"/>
          <w:szCs w:val="24"/>
          <w:lang w:val="en-GB"/>
        </w:rPr>
        <w:t>r</w:t>
      </w:r>
      <w:r w:rsidRPr="00C86C52">
        <w:rPr>
          <w:rFonts w:cs="Arial"/>
          <w:sz w:val="24"/>
          <w:szCs w:val="24"/>
          <w:lang w:val="en-GB"/>
        </w:rPr>
        <w:t xml:space="preserve">eport being made available to the parties or the child. </w:t>
      </w:r>
      <w:r w:rsidRPr="00B13980">
        <w:rPr>
          <w:rFonts w:cs="Arial"/>
          <w:sz w:val="24"/>
          <w:szCs w:val="24"/>
          <w:lang w:val="en-GB"/>
        </w:rPr>
        <w:t xml:space="preserve">Subject to any distribution directions from the court, the court officer will provide copies of the </w:t>
      </w:r>
      <w:r>
        <w:rPr>
          <w:rFonts w:cs="Arial"/>
          <w:sz w:val="24"/>
          <w:szCs w:val="24"/>
          <w:lang w:val="en-GB"/>
        </w:rPr>
        <w:t>r</w:t>
      </w:r>
      <w:r w:rsidRPr="00B13980">
        <w:rPr>
          <w:rFonts w:cs="Arial"/>
          <w:sz w:val="24"/>
          <w:szCs w:val="24"/>
          <w:lang w:val="en-GB"/>
        </w:rPr>
        <w:t xml:space="preserve">eport to the parties or their counsel and confirm any outstanding costs owed by either party. </w:t>
      </w:r>
    </w:p>
    <w:p w14:paraId="070C4B4F" w14:textId="77777777" w:rsidR="00E169E0" w:rsidRDefault="00E169E0" w:rsidP="00E169E0">
      <w:pPr>
        <w:tabs>
          <w:tab w:val="left" w:pos="720"/>
          <w:tab w:val="left" w:pos="1440"/>
        </w:tabs>
        <w:ind w:left="720" w:hanging="72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7.</w:t>
      </w:r>
      <w:r>
        <w:rPr>
          <w:rFonts w:cs="Arial"/>
          <w:sz w:val="24"/>
          <w:szCs w:val="24"/>
          <w:lang w:val="en-GB"/>
        </w:rPr>
        <w:tab/>
      </w:r>
      <w:r w:rsidRPr="00B13980">
        <w:rPr>
          <w:rFonts w:cs="Arial"/>
          <w:sz w:val="24"/>
          <w:szCs w:val="24"/>
          <w:lang w:val="en-GB"/>
        </w:rPr>
        <w:t xml:space="preserve">The </w:t>
      </w:r>
      <w:r>
        <w:rPr>
          <w:rFonts w:cs="Arial"/>
          <w:sz w:val="24"/>
          <w:szCs w:val="24"/>
          <w:lang w:val="en-GB"/>
        </w:rPr>
        <w:t>r</w:t>
      </w:r>
      <w:r w:rsidRPr="00B13980">
        <w:rPr>
          <w:rFonts w:cs="Arial"/>
          <w:sz w:val="24"/>
          <w:szCs w:val="24"/>
          <w:lang w:val="en-GB"/>
        </w:rPr>
        <w:t>eport will not be provided to the child unless authorized by the court. The court may direct whether, how</w:t>
      </w:r>
      <w:r>
        <w:rPr>
          <w:rFonts w:cs="Arial"/>
          <w:sz w:val="24"/>
          <w:szCs w:val="24"/>
          <w:lang w:val="en-GB"/>
        </w:rPr>
        <w:t>,</w:t>
      </w:r>
      <w:r w:rsidRPr="00B13980">
        <w:rPr>
          <w:rFonts w:cs="Arial"/>
          <w:sz w:val="24"/>
          <w:szCs w:val="24"/>
          <w:lang w:val="en-GB"/>
        </w:rPr>
        <w:t xml:space="preserve"> or what information may be supplied to the child ab</w:t>
      </w:r>
      <w:r>
        <w:rPr>
          <w:rFonts w:cs="Arial"/>
          <w:sz w:val="24"/>
          <w:szCs w:val="24"/>
          <w:lang w:val="en-GB"/>
        </w:rPr>
        <w:t>out the contents of the report.</w:t>
      </w:r>
    </w:p>
    <w:p w14:paraId="7DB1C7AC" w14:textId="77777777" w:rsidR="00E169E0" w:rsidRPr="0007535F" w:rsidRDefault="00E169E0" w:rsidP="00E169E0">
      <w:pPr>
        <w:tabs>
          <w:tab w:val="left" w:pos="720"/>
          <w:tab w:val="left" w:pos="1440"/>
        </w:tabs>
        <w:ind w:left="720" w:hanging="72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8</w:t>
      </w:r>
      <w:r w:rsidRPr="0007535F">
        <w:rPr>
          <w:rFonts w:cs="Arial"/>
          <w:sz w:val="24"/>
          <w:szCs w:val="24"/>
          <w:lang w:val="en-GB"/>
        </w:rPr>
        <w:t xml:space="preserve">. </w:t>
      </w:r>
      <w:r w:rsidRPr="0007535F">
        <w:rPr>
          <w:rFonts w:cs="Arial"/>
          <w:sz w:val="24"/>
          <w:szCs w:val="24"/>
          <w:lang w:val="en-GB"/>
        </w:rPr>
        <w:tab/>
        <w:t xml:space="preserve">The parties must cooperate in a timely way with all reasonable requests made by the assessor </w:t>
      </w:r>
      <w:r>
        <w:rPr>
          <w:rFonts w:cs="Arial"/>
          <w:sz w:val="24"/>
          <w:szCs w:val="24"/>
          <w:lang w:val="en-GB"/>
        </w:rPr>
        <w:t xml:space="preserve">and court officer </w:t>
      </w:r>
      <w:r w:rsidRPr="0007535F">
        <w:rPr>
          <w:rFonts w:cs="Arial"/>
          <w:sz w:val="24"/>
          <w:szCs w:val="24"/>
          <w:lang w:val="en-GB"/>
        </w:rPr>
        <w:t xml:space="preserve">in relation to the preparation of this </w:t>
      </w:r>
      <w:r>
        <w:rPr>
          <w:rFonts w:cs="Arial"/>
          <w:sz w:val="24"/>
          <w:szCs w:val="24"/>
          <w:lang w:val="en-GB"/>
        </w:rPr>
        <w:t>report.</w:t>
      </w:r>
    </w:p>
    <w:p w14:paraId="2846179C" w14:textId="77777777" w:rsidR="00E169E0" w:rsidRPr="002F59B8" w:rsidRDefault="00E169E0" w:rsidP="00E16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9</w:t>
      </w:r>
      <w:r w:rsidRPr="0007535F">
        <w:rPr>
          <w:rFonts w:cs="Arial"/>
          <w:sz w:val="24"/>
          <w:szCs w:val="24"/>
          <w:lang w:val="en-GB"/>
        </w:rPr>
        <w:t>.</w:t>
      </w:r>
      <w:r w:rsidRPr="0007535F">
        <w:rPr>
          <w:rFonts w:cs="Arial"/>
          <w:sz w:val="24"/>
          <w:szCs w:val="24"/>
          <w:lang w:val="en-GB"/>
        </w:rPr>
        <w:tab/>
      </w:r>
      <w:r w:rsidRPr="002F59B8">
        <w:rPr>
          <w:rFonts w:cs="Arial"/>
          <w:sz w:val="24"/>
          <w:szCs w:val="24"/>
          <w:lang w:val="en-GB"/>
        </w:rPr>
        <w:t>The appointment of the assessor and collection of fees falls under the Nova Scotia Court Services</w:t>
      </w:r>
      <w:r>
        <w:rPr>
          <w:rFonts w:cs="Arial"/>
          <w:sz w:val="24"/>
          <w:szCs w:val="24"/>
          <w:lang w:val="en-GB"/>
        </w:rPr>
        <w:t>’</w:t>
      </w:r>
      <w:r w:rsidRPr="002F59B8">
        <w:rPr>
          <w:rFonts w:cs="Arial"/>
          <w:sz w:val="24"/>
          <w:szCs w:val="24"/>
          <w:lang w:val="en-GB"/>
        </w:rPr>
        <w:t xml:space="preserve"> </w:t>
      </w:r>
      <w:r w:rsidRPr="00FD417D">
        <w:rPr>
          <w:rFonts w:cs="Arial"/>
          <w:i/>
          <w:sz w:val="24"/>
          <w:szCs w:val="24"/>
          <w:lang w:val="en-GB"/>
        </w:rPr>
        <w:t>Policy and Procedure for the Preparation of Court-ordered Assessments</w:t>
      </w:r>
      <w:r w:rsidRPr="002F59B8">
        <w:rPr>
          <w:rFonts w:cs="Arial"/>
          <w:sz w:val="24"/>
          <w:szCs w:val="24"/>
          <w:lang w:val="en-GB"/>
        </w:rPr>
        <w:t xml:space="preserve">. </w:t>
      </w:r>
    </w:p>
    <w:p w14:paraId="2404748B" w14:textId="77777777" w:rsidR="00E169E0" w:rsidRPr="002F59B8" w:rsidRDefault="00E169E0" w:rsidP="00CC0AFE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iCs/>
          <w:sz w:val="24"/>
          <w:szCs w:val="24"/>
          <w:highlight w:val="yellow"/>
        </w:rPr>
      </w:pPr>
      <w:r w:rsidRPr="002F59B8">
        <w:rPr>
          <w:rFonts w:cs="Arial"/>
          <w:sz w:val="24"/>
          <w:szCs w:val="24"/>
          <w:lang w:val="en-GB"/>
        </w:rPr>
        <w:t>10.</w:t>
      </w:r>
      <w:r w:rsidRPr="002F59B8">
        <w:rPr>
          <w:rFonts w:cs="Arial"/>
          <w:sz w:val="24"/>
          <w:szCs w:val="24"/>
          <w:lang w:val="en-GB"/>
        </w:rPr>
        <w:tab/>
        <w:t>[</w:t>
      </w:r>
      <w:r>
        <w:rPr>
          <w:rFonts w:cs="Arial"/>
          <w:sz w:val="24"/>
          <w:szCs w:val="24"/>
          <w:lang w:val="en-GB"/>
        </w:rPr>
        <w:t>When</w:t>
      </w:r>
      <w:r w:rsidRPr="002F59B8">
        <w:rPr>
          <w:rFonts w:cs="Arial"/>
          <w:sz w:val="24"/>
          <w:szCs w:val="24"/>
          <w:lang w:val="en-GB"/>
        </w:rPr>
        <w:t xml:space="preserve"> no contribution is required by the parties] </w:t>
      </w:r>
      <w:r w:rsidRPr="002F59B8">
        <w:rPr>
          <w:iCs/>
          <w:sz w:val="24"/>
          <w:szCs w:val="24"/>
        </w:rPr>
        <w:t xml:space="preserve">The </w:t>
      </w:r>
      <w:r>
        <w:rPr>
          <w:iCs/>
          <w:sz w:val="24"/>
          <w:szCs w:val="24"/>
        </w:rPr>
        <w:t>r</w:t>
      </w:r>
      <w:r w:rsidRPr="002F59B8">
        <w:rPr>
          <w:iCs/>
          <w:sz w:val="24"/>
          <w:szCs w:val="24"/>
        </w:rPr>
        <w:t xml:space="preserve">eport shall be prepared at the expense </w:t>
      </w:r>
      <w:r w:rsidRPr="002F59B8">
        <w:rPr>
          <w:iCs/>
          <w:sz w:val="24"/>
          <w:szCs w:val="24"/>
        </w:rPr>
        <w:tab/>
        <w:t>of the Department of Justice [</w:t>
      </w:r>
      <w:r w:rsidRPr="002F59B8">
        <w:rPr>
          <w:iCs/>
          <w:sz w:val="24"/>
          <w:szCs w:val="24"/>
          <w:highlight w:val="yellow"/>
        </w:rPr>
        <w:t xml:space="preserve">specify either that the determination was made in accordance </w:t>
      </w:r>
      <w:r w:rsidRPr="002F59B8">
        <w:rPr>
          <w:iCs/>
          <w:sz w:val="24"/>
          <w:szCs w:val="24"/>
          <w:highlight w:val="yellow"/>
        </w:rPr>
        <w:tab/>
        <w:t>with s. 20 e of the Regulations due to serious financial hardship</w:t>
      </w:r>
      <w:r>
        <w:rPr>
          <w:iCs/>
          <w:sz w:val="24"/>
          <w:szCs w:val="24"/>
          <w:highlight w:val="yellow"/>
        </w:rPr>
        <w:t>,</w:t>
      </w:r>
      <w:r w:rsidRPr="002F59B8">
        <w:rPr>
          <w:iCs/>
          <w:sz w:val="24"/>
          <w:szCs w:val="24"/>
          <w:highlight w:val="yellow"/>
        </w:rPr>
        <w:t xml:space="preserve"> or as a result of the parties’ </w:t>
      </w:r>
      <w:r w:rsidRPr="002F59B8">
        <w:rPr>
          <w:iCs/>
          <w:sz w:val="24"/>
          <w:szCs w:val="24"/>
          <w:highlight w:val="yellow"/>
        </w:rPr>
        <w:tab/>
        <w:t xml:space="preserve">incomes being below the threshold for payment set out in the Regulations.] </w:t>
      </w:r>
    </w:p>
    <w:p w14:paraId="59F7CD2A" w14:textId="77777777" w:rsidR="00E169E0" w:rsidRPr="002F59B8" w:rsidRDefault="00E169E0" w:rsidP="00E169E0">
      <w:pPr>
        <w:jc w:val="both"/>
        <w:rPr>
          <w:rFonts w:cs="Arial"/>
          <w:sz w:val="24"/>
          <w:szCs w:val="24"/>
          <w:lang w:val="en-GB"/>
        </w:rPr>
      </w:pPr>
      <w:r w:rsidRPr="002F59B8">
        <w:rPr>
          <w:rFonts w:cs="Arial"/>
          <w:sz w:val="24"/>
          <w:szCs w:val="24"/>
          <w:highlight w:val="yellow"/>
          <w:lang w:val="en-GB"/>
        </w:rPr>
        <w:t>OR</w:t>
      </w:r>
    </w:p>
    <w:p w14:paraId="1286A7D7" w14:textId="77777777" w:rsidR="00E169E0" w:rsidRPr="002F59B8" w:rsidRDefault="00E169E0" w:rsidP="00E169E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sz w:val="24"/>
          <w:szCs w:val="24"/>
        </w:rPr>
      </w:pPr>
      <w:r w:rsidRPr="002F59B8">
        <w:rPr>
          <w:rFonts w:cs="Arial"/>
          <w:sz w:val="24"/>
          <w:szCs w:val="24"/>
          <w:lang w:val="en-GB"/>
        </w:rPr>
        <w:lastRenderedPageBreak/>
        <w:t>10.</w:t>
      </w:r>
      <w:r w:rsidRPr="002F59B8">
        <w:rPr>
          <w:rFonts w:cs="Arial"/>
          <w:sz w:val="24"/>
          <w:szCs w:val="24"/>
          <w:lang w:val="en-GB"/>
        </w:rPr>
        <w:tab/>
        <w:t>[</w:t>
      </w:r>
      <w:r>
        <w:rPr>
          <w:rFonts w:cs="Arial"/>
          <w:sz w:val="24"/>
          <w:szCs w:val="24"/>
          <w:lang w:val="en-GB"/>
        </w:rPr>
        <w:t>When</w:t>
      </w:r>
      <w:r w:rsidRPr="002F59B8">
        <w:rPr>
          <w:rFonts w:cs="Arial"/>
          <w:sz w:val="24"/>
          <w:szCs w:val="24"/>
          <w:lang w:val="en-GB"/>
        </w:rPr>
        <w:t xml:space="preserve"> contribution is required by the parties] </w:t>
      </w:r>
      <w:r w:rsidRPr="002F59B8">
        <w:rPr>
          <w:sz w:val="24"/>
          <w:szCs w:val="24"/>
        </w:rPr>
        <w:t xml:space="preserve">The </w:t>
      </w:r>
      <w:proofErr w:type="gramStart"/>
      <w:r w:rsidRPr="002F59B8">
        <w:rPr>
          <w:sz w:val="24"/>
          <w:szCs w:val="24"/>
        </w:rPr>
        <w:t>manner in which</w:t>
      </w:r>
      <w:proofErr w:type="gramEnd"/>
      <w:r w:rsidRPr="002F59B8">
        <w:rPr>
          <w:sz w:val="24"/>
          <w:szCs w:val="24"/>
        </w:rPr>
        <w:t xml:space="preserve"> the parties must contribute to the cost of this report shall be addressed by separate order of this court. [</w:t>
      </w:r>
      <w:r w:rsidRPr="002F59B8">
        <w:rPr>
          <w:sz w:val="24"/>
          <w:szCs w:val="24"/>
          <w:highlight w:val="yellow"/>
        </w:rPr>
        <w:t>Note: The court may choose to include the deposit and costs contribution provisions in this order. See sample Order A.3]</w:t>
      </w:r>
    </w:p>
    <w:p w14:paraId="52E1A5F1" w14:textId="77777777" w:rsidR="00E169E0" w:rsidRPr="002F59B8" w:rsidRDefault="00E169E0" w:rsidP="00E169E0">
      <w:pPr>
        <w:jc w:val="both"/>
        <w:rPr>
          <w:rFonts w:cs="Arial"/>
          <w:sz w:val="24"/>
          <w:szCs w:val="24"/>
          <w:lang w:val="en-GB"/>
        </w:rPr>
      </w:pPr>
      <w:r w:rsidRPr="002F59B8">
        <w:rPr>
          <w:rFonts w:cs="Arial"/>
          <w:sz w:val="24"/>
          <w:szCs w:val="24"/>
          <w:lang w:val="en-GB"/>
        </w:rPr>
        <w:t>Issued at [place] on [date].</w:t>
      </w:r>
    </w:p>
    <w:p w14:paraId="35A7E94A" w14:textId="77777777" w:rsidR="00E169E0" w:rsidRPr="00B96D8C" w:rsidRDefault="00E169E0" w:rsidP="00E16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sz w:val="24"/>
          <w:szCs w:val="24"/>
        </w:rPr>
      </w:pPr>
      <w:r w:rsidRPr="00B96D8C">
        <w:rPr>
          <w:rFonts w:cs="Arial"/>
          <w:sz w:val="24"/>
          <w:szCs w:val="24"/>
          <w:lang w:val="en-GB"/>
        </w:rPr>
        <w:t xml:space="preserve">                                    </w:t>
      </w:r>
      <w:r w:rsidRPr="00B96D8C">
        <w:rPr>
          <w:rFonts w:cs="Arial"/>
          <w:sz w:val="24"/>
          <w:szCs w:val="24"/>
          <w:lang w:val="en-GB"/>
        </w:rPr>
        <w:tab/>
      </w:r>
      <w:r w:rsidRPr="00B96D8C">
        <w:rPr>
          <w:rFonts w:cs="Arial"/>
          <w:sz w:val="24"/>
          <w:szCs w:val="24"/>
          <w:lang w:val="en-GB"/>
        </w:rPr>
        <w:tab/>
      </w:r>
      <w:r w:rsidRPr="00B96D8C">
        <w:rPr>
          <w:rFonts w:cs="Arial"/>
          <w:sz w:val="24"/>
          <w:szCs w:val="24"/>
          <w:lang w:val="en-GB"/>
        </w:rPr>
        <w:tab/>
      </w:r>
      <w:r w:rsidRPr="00B96D8C">
        <w:rPr>
          <w:rFonts w:cs="Arial"/>
          <w:sz w:val="24"/>
          <w:szCs w:val="24"/>
          <w:lang w:val="en-GB"/>
        </w:rPr>
        <w:tab/>
      </w:r>
      <w:r w:rsidRPr="00B96D8C">
        <w:rPr>
          <w:rFonts w:cs="Arial"/>
          <w:sz w:val="24"/>
          <w:szCs w:val="24"/>
          <w:u w:val="single"/>
          <w:lang w:val="en-GB"/>
        </w:rPr>
        <w:t xml:space="preserve">____________________________                                                             </w:t>
      </w:r>
      <w:r w:rsidRPr="00B96D8C">
        <w:rPr>
          <w:rFonts w:cs="Arial"/>
          <w:sz w:val="24"/>
          <w:szCs w:val="24"/>
          <w:lang w:val="en-GB"/>
        </w:rPr>
        <w:t xml:space="preserve">  Court Officer</w:t>
      </w:r>
    </w:p>
    <w:p w14:paraId="05AD9474" w14:textId="77777777" w:rsidR="00AA7371" w:rsidRDefault="00AA7371"/>
    <w:sectPr w:rsidR="00AA7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9E0"/>
    <w:rsid w:val="00044676"/>
    <w:rsid w:val="006C6C9B"/>
    <w:rsid w:val="00700269"/>
    <w:rsid w:val="008B3788"/>
    <w:rsid w:val="00AA7371"/>
    <w:rsid w:val="00CC0AFE"/>
    <w:rsid w:val="00E169E0"/>
    <w:rsid w:val="00F2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2A7FC"/>
  <w15:chartTrackingRefBased/>
  <w15:docId w15:val="{C17BE0A7-05D8-48DA-81EF-424AB94F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9E0"/>
    <w:pPr>
      <w:spacing w:after="0" w:line="240" w:lineRule="auto"/>
    </w:pPr>
    <w:rPr>
      <w:rFonts w:ascii="Calibri" w:eastAsia="Calibri" w:hAnsi="Calibri" w:cs="Times New Roman"/>
      <w:lang w:val="en-CA"/>
    </w:rPr>
  </w:style>
  <w:style w:type="character" w:styleId="Hyperlink">
    <w:name w:val="Hyperlink"/>
    <w:basedOn w:val="DefaultParagraphFont"/>
    <w:uiPriority w:val="99"/>
    <w:semiHidden/>
    <w:unhideWhenUsed/>
    <w:rsid w:val="000446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familylaw.ca/other/assessments-VCR/VCR/VCR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Christine E</dc:creator>
  <cp:keywords/>
  <dc:description/>
  <cp:lastModifiedBy>O'Neill, Stacey</cp:lastModifiedBy>
  <cp:revision>3</cp:revision>
  <dcterms:created xsi:type="dcterms:W3CDTF">2023-01-10T13:44:00Z</dcterms:created>
  <dcterms:modified xsi:type="dcterms:W3CDTF">2023-01-10T13:45:00Z</dcterms:modified>
</cp:coreProperties>
</file>